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GoBack"/>
      <w:bookmarkEnd w:id="0"/>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1" w:name="__DdeLink__13863_180492560"/>
      <w:bookmarkEnd w:id="1"/>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М.В. Меркетова</w:t>
            </w:r>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661E1346"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r w:rsidR="00EA0014" w:rsidRPr="00EB02C8">
        <w:rPr>
          <w:rFonts w:ascii="Times New Roman" w:hAnsi="Times New Roman" w:cs="Times New Roman"/>
          <w:sz w:val="28"/>
          <w:szCs w:val="28"/>
        </w:rPr>
        <w:t xml:space="preserve">LegoWedo,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r w:rsidRPr="00EB02C8">
        <w:rPr>
          <w:rFonts w:ascii="Times New Roman" w:hAnsi="Times New Roman" w:cs="Times New Roman"/>
          <w:sz w:val="28"/>
          <w:szCs w:val="28"/>
        </w:rPr>
        <w:t>Mindstorms. Для создания программы, по которой будет действовать модель, используется специальный язык программирования RoboLab.</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распоряжении детей будут предоставлены Лего-конструкторы,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LegoWedo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качестве платформы для создания роботов используется конструктор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Mindstorms, LegoWedo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Применение разнообразных конструкторов на базе платформ Лего и Arduino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Lego Mindstorms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lego Mindstorms.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Bluetooth. Кроме того, используя Bluetooth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java-приложение.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выбирать основания и критерии для сравнения, сериации,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Знакомство с интернет-ресурсами,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занятиях создаются условия для самовыражения и развития конструктивной деятельности. Эффективность обучения повышается при введении элементов проблемности.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WeDo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Практика: Знакомство с конструктором Лего: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Wedo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Графический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 Задания для самостоятельной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севромоторов</w:t>
      </w:r>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“Кегельринг-квадро”.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файлами.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файлами. Разбор фрагмента программы, демонстрирующий алгоритм работы с файлом.</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r w:rsidR="00A1774F" w:rsidRPr="00EB02C8">
              <w:rPr>
                <w:rFonts w:ascii="Times New Roman" w:hAnsi="Times New Roman" w:cs="Times New Roman"/>
                <w:b/>
                <w:sz w:val="28"/>
                <w:szCs w:val="28"/>
                <w:lang w:val="en-US"/>
              </w:rPr>
              <w:t>Arduino</w:t>
            </w:r>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Arduino.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Технология соединения входов и выходов блоков для передачи данных. Типы данных. Логический тип данных. Числовой тип данных. Текстовый тип данных. Массив. Числовой массив. Логический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переменной. Название переменной. Значение переменной. Фрагмент программы с использованием переменной.</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Блоки математики. Структура блока математики. Арифметическое действие.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Задания для самостоятельной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“Случайное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Практика:Задания для самостоятельной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3. Работа с файлами.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3.1 Работа с файлами. Разбор фрагмента программы, демонстрирующий алгоритм работы с файлом.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текстовым/числовыми файлами. Запись данных в файл. Закрытие файла. Чтение данных из файла. Фрагмент программы, демонстрирующий алгоритм работы с файлом.</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Блок для создания Bluetooth-соединения. Блок отравления/принятия сообщений через Bluetooth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для создания Bluetooth-соединения. Режимы работы блока Bluetooth-соединения. Блок отравления/принятия сообщений через Bluetooth соединение.Пример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Понятие “Подпрограмма”. Конструктор моего блока. Создание подпрограммы с передачей входных и выходных параметров. Настройка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Пропорциональное линейное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r w:rsidRPr="00EB02C8">
        <w:rPr>
          <w:rFonts w:ascii="Times New Roman" w:hAnsi="Times New Roman" w:cs="Times New Roman"/>
          <w:b/>
          <w:sz w:val="28"/>
          <w:szCs w:val="28"/>
        </w:rPr>
        <w:t>Нелинейное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Линейное управление. Нелинейное управление. Формулы косинусного управления. Управление роботом при движении по вектору. Пример программы нелинейного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роботов-сумои</w:t>
      </w:r>
      <w:r w:rsidRPr="00EB02C8">
        <w:rPr>
          <w:rFonts w:ascii="Times New Roman" w:hAnsi="Times New Roman" w:cs="Times New Roman"/>
          <w:bCs/>
          <w:sz w:val="28"/>
          <w:szCs w:val="28"/>
          <w:lang w:eastAsia="en-US"/>
        </w:rPr>
        <w:t>стов.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r w:rsidRPr="00EB02C8">
        <w:rPr>
          <w:rFonts w:ascii="Times New Roman" w:hAnsi="Times New Roman" w:cs="Times New Roman"/>
          <w:b/>
          <w:sz w:val="28"/>
          <w:szCs w:val="28"/>
          <w:lang w:val="en-US"/>
        </w:rPr>
        <w:t>Arduino</w:t>
      </w:r>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6.2 Знакомство с платформой Arduino.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и принципов работы платформы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r w:rsidRPr="00EB02C8">
        <w:rPr>
          <w:rFonts w:ascii="Times New Roman" w:hAnsi="Times New Roman" w:cs="Times New Roman"/>
          <w:sz w:val="28"/>
          <w:szCs w:val="28"/>
          <w:lang w:val="en-US"/>
        </w:rPr>
        <w:t>Соревнования.</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r w:rsidRPr="00EB02C8">
        <w:rPr>
          <w:rFonts w:ascii="Times New Roman" w:hAnsi="Times New Roman" w:cs="Times New Roman"/>
          <w:b/>
          <w:bCs/>
          <w:sz w:val="28"/>
          <w:szCs w:val="28"/>
        </w:rPr>
        <w:t>Метапредметные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ПервоРобот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Введение в 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Работа с файлами. Разбор фрагмента программы, демонстрирующий алгоритм работы с файлом.</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r w:rsidRPr="00EB02C8">
        <w:rPr>
          <w:rFonts w:cs="Times New Roman"/>
          <w:sz w:val="28"/>
          <w:szCs w:val="28"/>
        </w:rPr>
        <w:t>Материально-техническое обеспечение</w:t>
      </w:r>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левосторонней (детей леворуких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r w:rsidRPr="00EB02C8">
        <w:rPr>
          <w:rFonts w:cs="Times New Roman"/>
          <w:sz w:val="28"/>
          <w:szCs w:val="28"/>
        </w:rPr>
        <w:t>Оборудование, инструменты и материалы</w:t>
      </w:r>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Лего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используются наборы, состоящие из контроллера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r w:rsidRPr="00EB02C8">
        <w:rPr>
          <w:rFonts w:cs="Times New Roman"/>
          <w:sz w:val="28"/>
          <w:szCs w:val="28"/>
        </w:rPr>
        <w:t>Информационное обеспечение</w:t>
      </w:r>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r w:rsidRPr="00EB02C8">
        <w:rPr>
          <w:rFonts w:cs="Times New Roman"/>
          <w:sz w:val="28"/>
          <w:szCs w:val="28"/>
        </w:rPr>
        <w:t>Кадровое обеспечение</w:t>
      </w:r>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Уровни сформирован-ности</w:t>
            </w:r>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Эмоционольное;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Mindstroms</w:t>
      </w:r>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Яламов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Вараксина, Е. И. Развитие физического мышления учащихся при изучении элементов робототехники : учебное исследование инфракрасного датчика расстояния / Е. И. Вараксина,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Смирнов Аркадий Борисович Мехатроника и робототехника. Системы микроперемещений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В.Потапов, Ю.Хухра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(Robots mobiles programmables Techniques avancees) . Жимарши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М.Устройства управления роботами. Схемотехника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Джон Ловин Создаем робота-андроида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Подураев Ю.В. Мехатронные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Ющенко А.С., Подураев Ю.В. Адаптивные робототехнологические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английском языке о легороботах</w:t>
      </w:r>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A0E11"/>
    <w:rsid w:val="000B0DF8"/>
    <w:rsid w:val="000B2469"/>
    <w:rsid w:val="000C5FB1"/>
    <w:rsid w:val="000D0B4F"/>
    <w:rsid w:val="000F37D8"/>
    <w:rsid w:val="001104AA"/>
    <w:rsid w:val="00144D12"/>
    <w:rsid w:val="001757CD"/>
    <w:rsid w:val="001764E2"/>
    <w:rsid w:val="00185998"/>
    <w:rsid w:val="001910A8"/>
    <w:rsid w:val="001B6140"/>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318A4"/>
    <w:rsid w:val="00757043"/>
    <w:rsid w:val="0078081B"/>
    <w:rsid w:val="00790638"/>
    <w:rsid w:val="00795D06"/>
    <w:rsid w:val="00854BCF"/>
    <w:rsid w:val="00862461"/>
    <w:rsid w:val="0086743B"/>
    <w:rsid w:val="00875BD2"/>
    <w:rsid w:val="008774DB"/>
    <w:rsid w:val="00884DEB"/>
    <w:rsid w:val="00887513"/>
    <w:rsid w:val="008A12AB"/>
    <w:rsid w:val="008A471E"/>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5421"/>
    <w:rsid w:val="00C842FB"/>
    <w:rsid w:val="00C86681"/>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7235-85AB-DD4C-A46F-DE40B076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4</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42</cp:revision>
  <cp:lastPrinted>2019-06-25T08:13:00Z</cp:lastPrinted>
  <dcterms:created xsi:type="dcterms:W3CDTF">2019-03-20T07:20:00Z</dcterms:created>
  <dcterms:modified xsi:type="dcterms:W3CDTF">2021-03-02T02:50:00Z</dcterms:modified>
</cp:coreProperties>
</file>