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50" w:rsidRDefault="007F1250" w:rsidP="007F1250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НОО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обучающихся АООП НОО с </w:t>
      </w:r>
      <w:r>
        <w:rPr>
          <w:rFonts w:ascii="Times New Roman" w:eastAsia="MS Mincho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7F1250" w:rsidRDefault="007F1250" w:rsidP="007F1250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учебному </w:t>
      </w:r>
      <w:r>
        <w:rPr>
          <w:rFonts w:ascii="Times New Roman" w:hAnsi="Times New Roman" w:cs="Times New Roman"/>
          <w:sz w:val="32"/>
          <w:szCs w:val="32"/>
        </w:rPr>
        <w:t>курсу ОРКСЭ</w:t>
      </w: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модуль «Основы мировых религиозных культур»</w:t>
      </w: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7F1250" w:rsidRDefault="007F1250" w:rsidP="007F1250">
      <w:pPr>
        <w:rPr>
          <w:rFonts w:ascii="Times New Roman" w:hAnsi="Times New Roman" w:cs="Times New Roman"/>
          <w:sz w:val="28"/>
          <w:szCs w:val="36"/>
        </w:rPr>
        <w:sectPr w:rsidR="007F125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7F1250" w:rsidRDefault="007F1250" w:rsidP="007F1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1250" w:rsidRDefault="007F1250" w:rsidP="00F86ACC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50" w:rsidRDefault="007F1250" w:rsidP="00F86ACC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</w:t>
      </w:r>
      <w:r>
        <w:rPr>
          <w:sz w:val="28"/>
          <w:szCs w:val="28"/>
        </w:rPr>
        <w:t>курсу ОРКСЭ модуль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 xml:space="preserve">» на основной уровень образования разработана на основе ФГОС НОО. </w:t>
      </w:r>
      <w:proofErr w:type="gramStart"/>
      <w:r>
        <w:rPr>
          <w:sz w:val="28"/>
          <w:szCs w:val="28"/>
        </w:rPr>
        <w:t xml:space="preserve">Разработана на основе примерной общеобразовательной программы по учебному </w:t>
      </w:r>
      <w:r>
        <w:rPr>
          <w:sz w:val="28"/>
          <w:szCs w:val="28"/>
        </w:rPr>
        <w:t>ОРКСЭ модуль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мировых религиозных культур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rFonts w:eastAsia="MS Mincho"/>
          <w:color w:val="00000A"/>
          <w:sz w:val="28"/>
          <w:szCs w:val="28"/>
          <w:lang w:eastAsia="ru-RU"/>
        </w:rPr>
        <w:t xml:space="preserve">А.Л. </w:t>
      </w:r>
      <w:proofErr w:type="spellStart"/>
      <w:r>
        <w:rPr>
          <w:rFonts w:eastAsia="MS Mincho"/>
          <w:color w:val="00000A"/>
          <w:sz w:val="28"/>
          <w:szCs w:val="28"/>
          <w:lang w:eastAsia="ru-RU"/>
        </w:rPr>
        <w:t>Беглов</w:t>
      </w:r>
      <w:proofErr w:type="spellEnd"/>
      <w:r>
        <w:rPr>
          <w:color w:val="000000"/>
          <w:sz w:val="28"/>
          <w:szCs w:val="28"/>
        </w:rPr>
        <w:t xml:space="preserve"> 4 класс, Москва «Просвещение» 20</w:t>
      </w:r>
      <w:r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г</w:t>
      </w:r>
      <w:proofErr w:type="gramEnd"/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7F1250" w:rsidRDefault="007F1250" w:rsidP="00F86ACC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127"/>
        <w:gridCol w:w="1859"/>
        <w:gridCol w:w="874"/>
        <w:gridCol w:w="2008"/>
        <w:gridCol w:w="1114"/>
      </w:tblGrid>
      <w:tr w:rsidR="007F1250" w:rsidTr="005D3E8E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7F1250" w:rsidTr="005D3E8E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F12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1.1.5.1.2.5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F12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Беглов</w:t>
            </w:r>
            <w:proofErr w:type="spellEnd"/>
            <w:r w:rsidRPr="007F12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А.Л., Саплина Е.В., Токарева Е.С. и др.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Pr="007F1250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Основы религиозных культур и светской этики. Основы мировых религиозных культур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F86ACC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</w:tr>
    </w:tbl>
    <w:p w:rsidR="007F1250" w:rsidRDefault="007F1250" w:rsidP="00F86A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7F1250" w:rsidRDefault="007F1250" w:rsidP="00F86ACC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ACC" w:rsidRDefault="00F86ACC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7F1250" w:rsidRDefault="007F1250" w:rsidP="00F86A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F1250" w:rsidRPr="00F86ACC" w:rsidRDefault="007F1250" w:rsidP="00F86ACC">
      <w:pPr>
        <w:pStyle w:val="a7"/>
        <w:numPr>
          <w:ilvl w:val="0"/>
          <w:numId w:val="7"/>
        </w:numPr>
        <w:shd w:val="clear" w:color="auto" w:fill="FFFFFF"/>
        <w:ind w:left="0" w:hanging="11"/>
        <w:rPr>
          <w:rFonts w:ascii="Calibri" w:hAnsi="Calibri" w:cs="Calibri"/>
          <w:color w:val="FF0000"/>
          <w:sz w:val="20"/>
          <w:szCs w:val="20"/>
        </w:rPr>
      </w:pPr>
      <w:r w:rsidRPr="00F86ACC">
        <w:rPr>
          <w:rFonts w:ascii="Times New Roman" w:hAnsi="Times New Roman" w:cs="Times New Roman"/>
          <w:color w:val="000000"/>
          <w:sz w:val="28"/>
          <w:szCs w:val="28"/>
        </w:rPr>
        <w:t>формирование основ российской идентичности, чувства гордости за свою Родину;</w:t>
      </w:r>
    </w:p>
    <w:p w:rsidR="007F1250" w:rsidRPr="007F1250" w:rsidRDefault="007F1250" w:rsidP="00F86ACC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7F1250">
        <w:rPr>
          <w:rFonts w:ascii="Times New Roman" w:hAnsi="Times New Roman" w:cs="Times New Roman"/>
          <w:color w:val="000000"/>
          <w:sz w:val="28"/>
          <w:szCs w:val="28"/>
        </w:rPr>
        <w:t>развитие самостоятельности и личной ответственности за свои поступки;</w:t>
      </w:r>
    </w:p>
    <w:p w:rsidR="007F1250" w:rsidRPr="007F1250" w:rsidRDefault="007F1250" w:rsidP="00F86ACC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7F1250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чувств;</w:t>
      </w:r>
    </w:p>
    <w:p w:rsidR="007F1250" w:rsidRPr="007F1250" w:rsidRDefault="007F1250" w:rsidP="00F86ACC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7F1250">
        <w:rPr>
          <w:rFonts w:ascii="Times New Roman" w:hAnsi="Times New Roman" w:cs="Times New Roman"/>
          <w:color w:val="000000"/>
          <w:sz w:val="28"/>
          <w:szCs w:val="28"/>
        </w:rPr>
        <w:t>воспитание доброжелательности и эмоционально-нравственной отзывчивости;</w:t>
      </w:r>
    </w:p>
    <w:p w:rsidR="007F1250" w:rsidRPr="007F1250" w:rsidRDefault="007F1250" w:rsidP="00F86ACC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7F1250"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7F1250" w:rsidRPr="007F1250" w:rsidRDefault="007F1250" w:rsidP="00F86ACC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7F1250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труду, работе на результат, бережному отношению к материальным и духовным ценностям.</w:t>
      </w:r>
    </w:p>
    <w:p w:rsidR="007F1250" w:rsidRDefault="007F1250" w:rsidP="00F86ACC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7F1250" w:rsidRDefault="007F1250" w:rsidP="00F86ACC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F86ACC" w:rsidRPr="00F86ACC" w:rsidRDefault="00F86ACC" w:rsidP="00F86ACC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F86ACC">
        <w:rPr>
          <w:rFonts w:ascii="Times New Roman" w:hAnsi="Times New Roman" w:cs="Times New Roman"/>
          <w:color w:val="000000"/>
          <w:sz w:val="28"/>
          <w:szCs w:val="28"/>
        </w:rPr>
        <w:t>формировать умение планировать, контролировать и оценивать учебные действия;</w:t>
      </w:r>
    </w:p>
    <w:p w:rsidR="00F86ACC" w:rsidRPr="00F86ACC" w:rsidRDefault="00F86ACC" w:rsidP="00F86ACC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F86ACC">
        <w:rPr>
          <w:rFonts w:ascii="Times New Roman" w:hAnsi="Times New Roman" w:cs="Times New Roman"/>
          <w:color w:val="000000"/>
          <w:sz w:val="28"/>
          <w:szCs w:val="28"/>
        </w:rPr>
        <w:t>адекватное использование речевых средств и средств информационно-коммуникационных технологий;</w:t>
      </w:r>
    </w:p>
    <w:p w:rsidR="00F86ACC" w:rsidRPr="00F86ACC" w:rsidRDefault="00F86ACC" w:rsidP="00F86ACC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F86ACC">
        <w:rPr>
          <w:rFonts w:ascii="Times New Roman" w:hAnsi="Times New Roman" w:cs="Times New Roman"/>
          <w:color w:val="000000"/>
          <w:sz w:val="28"/>
          <w:szCs w:val="28"/>
        </w:rPr>
        <w:t>осуществлять информационный поиск;</w:t>
      </w:r>
    </w:p>
    <w:p w:rsidR="00F86ACC" w:rsidRPr="00F86ACC" w:rsidRDefault="00F86ACC" w:rsidP="00F86ACC">
      <w:pPr>
        <w:numPr>
          <w:ilvl w:val="0"/>
          <w:numId w:val="4"/>
        </w:numPr>
        <w:shd w:val="clear" w:color="auto" w:fill="FFFFFF"/>
        <w:spacing w:line="276" w:lineRule="auto"/>
        <w:ind w:left="0" w:firstLine="0"/>
        <w:rPr>
          <w:rFonts w:ascii="Calibri" w:hAnsi="Calibri" w:cs="Calibri"/>
          <w:color w:val="FF0000"/>
          <w:sz w:val="20"/>
          <w:szCs w:val="20"/>
        </w:rPr>
      </w:pPr>
      <w:r w:rsidRPr="00F86ACC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жанров.</w:t>
      </w:r>
    </w:p>
    <w:p w:rsidR="00F86ACC" w:rsidRDefault="00F86ACC" w:rsidP="00F86AC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1250" w:rsidRDefault="007F1250" w:rsidP="00F86ACC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7F1250" w:rsidRDefault="007F1250" w:rsidP="00F86ACC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научатся:</w:t>
      </w:r>
    </w:p>
    <w:p w:rsidR="00F86ACC" w:rsidRPr="00F86ACC" w:rsidRDefault="00F86ACC" w:rsidP="00F86AC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F86ACC" w:rsidRPr="00F86ACC" w:rsidRDefault="00F86ACC" w:rsidP="00F86AC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86ACC" w:rsidRPr="00F86ACC" w:rsidRDefault="00F86ACC" w:rsidP="00F86AC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излагать свое мнение по поводу значения российской светской этики в жизни людей и общества; </w:t>
      </w:r>
    </w:p>
    <w:p w:rsidR="00F86ACC" w:rsidRPr="00F86ACC" w:rsidRDefault="00F86ACC" w:rsidP="00F86ACC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соотносить нравственные формы поведения с нормами российской светской (гражданской) этики; </w:t>
      </w:r>
    </w:p>
    <w:p w:rsidR="007F1250" w:rsidRPr="00F86ACC" w:rsidRDefault="00F86ACC" w:rsidP="00F86ACC">
      <w:pPr>
        <w:pStyle w:val="a7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6ACC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F1250" w:rsidRDefault="007F1250" w:rsidP="00F86ACC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F86ACC" w:rsidRPr="00F86ACC" w:rsidRDefault="00F86ACC" w:rsidP="00F86ACC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этики;* </w:t>
      </w:r>
    </w:p>
    <w:p w:rsidR="00F86ACC" w:rsidRPr="00F86ACC" w:rsidRDefault="00F86ACC" w:rsidP="00F86ACC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устанавливать взаимосвязь между содержанием российской светской этики и поведением людей, общественными явлениями; </w:t>
      </w:r>
    </w:p>
    <w:p w:rsidR="00F86ACC" w:rsidRPr="00F86ACC" w:rsidRDefault="00F86ACC" w:rsidP="00F86ACC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86ACC" w:rsidRPr="00F86ACC" w:rsidRDefault="00F86ACC" w:rsidP="00F86ACC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hanging="1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AC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7F1250" w:rsidRDefault="007F1250" w:rsidP="007F125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7F125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7F1250" w:rsidRDefault="007F1250" w:rsidP="007F125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50" w:rsidRDefault="007F1250" w:rsidP="007F1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7F1250" w:rsidTr="005D3E8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7F1250" w:rsidTr="005D3E8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CB5AAB" w:rsidRDefault="007F1250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F86ACC" w:rsidRDefault="00F86ACC" w:rsidP="005D3E8E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86ACC">
              <w:rPr>
                <w:color w:val="000000"/>
                <w:sz w:val="28"/>
                <w:szCs w:val="28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CB5AAB" w:rsidRDefault="00F86ACC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F86ACC" w:rsidP="0076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</w:t>
            </w:r>
            <w:r w:rsidR="00762A0A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оект</w:t>
            </w:r>
          </w:p>
        </w:tc>
      </w:tr>
      <w:tr w:rsidR="007F1250" w:rsidTr="005D3E8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CB5AAB" w:rsidRDefault="007F1250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F86ACC" w:rsidRDefault="00F86ACC" w:rsidP="005D3E8E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86ACC">
              <w:rPr>
                <w:color w:val="000000"/>
                <w:sz w:val="28"/>
                <w:szCs w:val="28"/>
                <w:shd w:val="clear" w:color="auto" w:fill="FFFFFF"/>
              </w:rPr>
              <w:t>Основы  мировых религиозных культур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CB5AAB" w:rsidRDefault="00F86ACC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F86ACC" w:rsidP="0076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</w:t>
            </w:r>
            <w:r w:rsidR="00762A0A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оект</w:t>
            </w:r>
          </w:p>
        </w:tc>
      </w:tr>
      <w:tr w:rsidR="007F1250" w:rsidTr="005D3E8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Pr="00CB5AAB" w:rsidRDefault="007F1250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F86ACC" w:rsidRDefault="00F86ACC" w:rsidP="005D3E8E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F86ACC">
              <w:rPr>
                <w:color w:val="000000"/>
                <w:sz w:val="28"/>
                <w:szCs w:val="28"/>
                <w:shd w:val="clear" w:color="auto" w:fill="FFFFFF"/>
              </w:rPr>
              <w:t>Духовные традиции многонационального народа России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Pr="00CB5AAB" w:rsidRDefault="00F86ACC" w:rsidP="005D3E8E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F86ACC" w:rsidP="0076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Пр</w:t>
            </w:r>
            <w:r w:rsidR="00762A0A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оект</w:t>
            </w:r>
          </w:p>
        </w:tc>
      </w:tr>
    </w:tbl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7F125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7F1250" w:rsidRDefault="007F1250" w:rsidP="007F125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7F1250" w:rsidTr="005D3E8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F1250" w:rsidRDefault="007F1250" w:rsidP="005D3E8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62A0A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ОРКСЭ модуль «Основы мировых религиозных культур»</w:t>
            </w:r>
          </w:p>
        </w:tc>
      </w:tr>
      <w:tr w:rsidR="007F1250" w:rsidTr="005D3E8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F1250" w:rsidTr="005D3E8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7F1250" w:rsidTr="005D3E8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7F1250" w:rsidRDefault="007F1250" w:rsidP="005D3E8E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Трофимова Л.А,</w:t>
            </w:r>
          </w:p>
        </w:tc>
      </w:tr>
    </w:tbl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7F1250" w:rsidTr="005D3E8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7F1250" w:rsidTr="005D3E8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250" w:rsidRDefault="007F1250" w:rsidP="005D3E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250" w:rsidRDefault="007F1250" w:rsidP="005D3E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250" w:rsidRDefault="007F1250" w:rsidP="005D3E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250" w:rsidRDefault="007F1250" w:rsidP="005D3E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F1250" w:rsidRDefault="007F1250" w:rsidP="005D3E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7F1250" w:rsidTr="005D3E8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F1250" w:rsidRDefault="007F1250" w:rsidP="005D3E8E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1250" w:rsidTr="005D3E8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250" w:rsidRDefault="007F1250" w:rsidP="005D3E8E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1250" w:rsidRDefault="007F1250" w:rsidP="007F12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250" w:rsidRDefault="007F1250" w:rsidP="007F1250">
      <w:pPr>
        <w:jc w:val="both"/>
      </w:pPr>
      <w:bookmarkStart w:id="0" w:name="_GoBack"/>
      <w:bookmarkEnd w:id="0"/>
    </w:p>
    <w:sectPr w:rsidR="007F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2C"/>
    <w:multiLevelType w:val="hybridMultilevel"/>
    <w:tmpl w:val="1DE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63BC"/>
    <w:multiLevelType w:val="hybridMultilevel"/>
    <w:tmpl w:val="755A77E4"/>
    <w:lvl w:ilvl="0" w:tplc="E9C6E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E1"/>
    <w:multiLevelType w:val="hybridMultilevel"/>
    <w:tmpl w:val="B14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24B40"/>
    <w:multiLevelType w:val="multilevel"/>
    <w:tmpl w:val="3C0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51740"/>
    <w:multiLevelType w:val="multilevel"/>
    <w:tmpl w:val="62A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51BE3"/>
    <w:multiLevelType w:val="multilevel"/>
    <w:tmpl w:val="D1E2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F0532"/>
    <w:multiLevelType w:val="hybridMultilevel"/>
    <w:tmpl w:val="0696E0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0"/>
    <w:rsid w:val="00762A0A"/>
    <w:rsid w:val="007F1250"/>
    <w:rsid w:val="0092118D"/>
    <w:rsid w:val="00F8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50"/>
    <w:rPr>
      <w:color w:val="0000FF"/>
      <w:u w:val="single"/>
    </w:rPr>
  </w:style>
  <w:style w:type="paragraph" w:customStyle="1" w:styleId="paragraph">
    <w:name w:val="paragraph"/>
    <w:basedOn w:val="a"/>
    <w:qFormat/>
    <w:rsid w:val="007F12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7F125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F125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7F125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125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List Paragraph"/>
    <w:basedOn w:val="a"/>
    <w:qFormat/>
    <w:rsid w:val="007F1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F12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5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50"/>
    <w:rPr>
      <w:color w:val="0000FF"/>
      <w:u w:val="single"/>
    </w:rPr>
  </w:style>
  <w:style w:type="paragraph" w:customStyle="1" w:styleId="paragraph">
    <w:name w:val="paragraph"/>
    <w:basedOn w:val="a"/>
    <w:qFormat/>
    <w:rsid w:val="007F12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7F125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F125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7F125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F125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List Paragraph"/>
    <w:basedOn w:val="a"/>
    <w:qFormat/>
    <w:rsid w:val="007F12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7F125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2020-10-11T13:31:00Z</dcterms:created>
  <dcterms:modified xsi:type="dcterms:W3CDTF">2020-10-11T13:55:00Z</dcterms:modified>
</cp:coreProperties>
</file>