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 xml:space="preserve">Приложение к АООП 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>НОО для обучающихся с РАС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МБОУ "Усть-Канская СОШ им. Ч.К. Кыдрашева"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6</w:t>
      </w:r>
      <w:r>
        <w:rPr>
          <w:rFonts w:cs="Times New Roman" w:ascii="Times New Roman" w:hAnsi="Times New Roman"/>
          <w:sz w:val="32"/>
          <w:szCs w:val="32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по музыке для 6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(Москва, Просвещение, 2014г.)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ценностно – ориентационная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становление музыкальной культуры как неотъемлемой части духовной культуры личности;</w:t>
      </w:r>
    </w:p>
    <w:p>
      <w:pPr>
        <w:pStyle w:val="Normal"/>
        <w:numPr>
          <w:ilvl w:val="0"/>
          <w:numId w:val="2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трудовая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навыков самостоятельной работы при выполнении учебных и творческих задач;</w:t>
      </w:r>
    </w:p>
    <w:p>
      <w:pPr>
        <w:pStyle w:val="Normal"/>
        <w:numPr>
          <w:ilvl w:val="0"/>
          <w:numId w:val="3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познавательная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умения познавать мир через музыкальные формы и образы.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Регулятивные УУД: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Осуществлять контроль своих действий на основе заданного алгоритма.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Осуществить действия по реализации плана.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Соотнести  результат своей деятельности с целью и оценить его.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 ходе представления проекта учиться давать оценку его результатов.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Понимать причины своего неуспеха и находить способы выхода из этой ситуации.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Предметные результаты: 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иметь представление о приемах взаимодействия и развития образов музыкальных сочинений;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совершенствовать умения и навыки самообразования.</w:t>
      </w:r>
    </w:p>
    <w:p>
      <w:pPr>
        <w:pStyle w:val="Style21"/>
        <w:pBdr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</w:t>
      </w:r>
    </w:p>
    <w:tbl>
      <w:tblPr>
        <w:tblW w:w="9706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pacing w:val="0"/>
                <w:sz w:val="23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lang w:eastAsia="en-US"/>
              </w:rPr>
              <w:t>«Мир образов вокальной и инструментальной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pacing w:val="0"/>
                <w:sz w:val="23"/>
              </w:rPr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</w:rPr>
              <w:t>«Мир образов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</w:t>
      </w: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 xml:space="preserve">Рабочая учебная программа по музыке для </w:t>
      </w:r>
      <w:r>
        <w:rPr>
          <w:rFonts w:ascii="TimesNewRomanPSMT" w:hAnsi="TimesNewRomanPSMT"/>
          <w:color w:val="000007"/>
          <w:sz w:val="28"/>
          <w:szCs w:val="28"/>
        </w:rPr>
        <w:t xml:space="preserve">6 </w:t>
      </w:r>
      <w:r>
        <w:rPr>
          <w:rFonts w:ascii="TimesNewRomanPSMT" w:hAnsi="TimesNewRomanPSMT"/>
          <w:color w:val="000007"/>
          <w:sz w:val="28"/>
          <w:szCs w:val="28"/>
        </w:rPr>
        <w:t>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</w:t>
      </w:r>
      <w:r>
        <w:rPr>
          <w:rFonts w:ascii="TimesNewRomanPSMT" w:hAnsi="TimesNewRomanPSMT"/>
          <w:color w:val="000007"/>
          <w:sz w:val="28"/>
          <w:szCs w:val="28"/>
        </w:rPr>
        <w:t>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/>
      </w:pPr>
      <w:r>
        <w:rPr>
          <w:color w:val="000000"/>
          <w:sz w:val="28"/>
          <w:szCs w:val="28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1985"/>
        <w:gridCol w:w="1559"/>
        <w:gridCol w:w="5098"/>
        <w:gridCol w:w="1137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-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9"/>
              <w:gridCol w:w="4375"/>
            </w:tblGrid>
            <w:tr>
              <w:trPr/>
              <w:tc>
                <w:tcPr>
                  <w:tcW w:w="59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5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auto"/>
    <w:pitch w:val="default"/>
  </w:font>
  <w:font w:name="Times New Roman">
    <w:charset w:val="01"/>
    <w:family w:val="auto"/>
    <w:pitch w:val="default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LibreOffice/5.0.2.2$MacOSX_X86_64 LibreOffice_project/37b43f919e4de5eeaca9b9755ed688758a8251fe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2020-10-07T13:01:08Z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